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1" w:type="pct"/>
        <w:tblInd w:w="-106" w:type="dxa"/>
        <w:tblLook w:val="01E0"/>
      </w:tblPr>
      <w:tblGrid>
        <w:gridCol w:w="5496"/>
        <w:gridCol w:w="9207"/>
      </w:tblGrid>
      <w:tr w:rsidR="00E26404" w:rsidRPr="00C93291" w:rsidTr="006C13FE">
        <w:trPr>
          <w:trHeight w:val="383"/>
        </w:trPr>
        <w:tc>
          <w:tcPr>
            <w:tcW w:w="5000" w:type="pct"/>
            <w:gridSpan w:val="2"/>
          </w:tcPr>
          <w:p w:rsidR="00E26404" w:rsidRPr="00C93291" w:rsidRDefault="00E26404" w:rsidP="006C13F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right"/>
              <w:rPr>
                <w:sz w:val="26"/>
                <w:szCs w:val="26"/>
              </w:rPr>
            </w:pPr>
            <w:r w:rsidRPr="00C93291">
              <w:rPr>
                <w:sz w:val="26"/>
                <w:szCs w:val="26"/>
              </w:rPr>
              <w:t>проект</w:t>
            </w:r>
          </w:p>
          <w:p w:rsidR="00E26404" w:rsidRPr="00C93291" w:rsidRDefault="00E26404" w:rsidP="006C13F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C93291">
              <w:rPr>
                <w:noProof/>
                <w:sz w:val="26"/>
                <w:szCs w:val="26"/>
              </w:rPr>
              <w:t xml:space="preserve">                                        </w:t>
            </w:r>
            <w:r>
              <w:rPr>
                <w:noProof/>
                <w:sz w:val="26"/>
                <w:szCs w:val="26"/>
              </w:rPr>
              <w:t xml:space="preserve">                          </w:t>
            </w:r>
            <w:r w:rsidRPr="00C93291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828675"/>
                  <wp:effectExtent l="19050" t="0" r="9525" b="0"/>
                  <wp:docPr id="1" name="Рисунок 1" descr="Новозыбковский р-он _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зыбковский р-он _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04" w:rsidRPr="00C93291" w:rsidRDefault="00E26404" w:rsidP="006C13FE">
            <w:pPr>
              <w:jc w:val="both"/>
              <w:rPr>
                <w:rFonts w:ascii="Times New Roman CYR" w:hAnsi="Times New Roman CYR"/>
                <w:b/>
                <w:bCs/>
                <w:sz w:val="34"/>
                <w:szCs w:val="34"/>
              </w:rPr>
            </w:pPr>
            <w:r w:rsidRPr="00C93291">
              <w:rPr>
                <w:rFonts w:ascii="Times New Roman CYR" w:hAnsi="Times New Roman CYR"/>
                <w:b/>
                <w:bCs/>
                <w:sz w:val="34"/>
                <w:szCs w:val="34"/>
              </w:rPr>
              <w:t>Новозыбковский  районный  Совет  народных  депутатов</w:t>
            </w:r>
          </w:p>
          <w:p w:rsidR="00E26404" w:rsidRPr="00C93291" w:rsidRDefault="00E26404" w:rsidP="006C13FE">
            <w:pPr>
              <w:jc w:val="both"/>
              <w:rPr>
                <w:rFonts w:ascii="Times New Roman CYR" w:hAnsi="Times New Roman CYR"/>
                <w:b/>
                <w:bCs/>
                <w:sz w:val="34"/>
                <w:szCs w:val="34"/>
              </w:rPr>
            </w:pPr>
          </w:p>
          <w:p w:rsidR="00E26404" w:rsidRPr="00C93291" w:rsidRDefault="00E26404" w:rsidP="006C13FE">
            <w:pPr>
              <w:jc w:val="both"/>
              <w:rPr>
                <w:b/>
                <w:sz w:val="28"/>
                <w:szCs w:val="28"/>
              </w:rPr>
            </w:pPr>
            <w:r w:rsidRPr="00C93291">
              <w:rPr>
                <w:b/>
                <w:sz w:val="34"/>
                <w:szCs w:val="34"/>
              </w:rPr>
              <w:t xml:space="preserve">                                           </w:t>
            </w:r>
            <w:proofErr w:type="gramStart"/>
            <w:r w:rsidRPr="00C93291">
              <w:rPr>
                <w:b/>
                <w:sz w:val="28"/>
                <w:szCs w:val="28"/>
              </w:rPr>
              <w:t>Р</w:t>
            </w:r>
            <w:proofErr w:type="gramEnd"/>
            <w:r w:rsidRPr="00C93291">
              <w:rPr>
                <w:b/>
                <w:sz w:val="28"/>
                <w:szCs w:val="28"/>
              </w:rPr>
              <w:t xml:space="preserve"> Е Ш Е Н И Е</w:t>
            </w:r>
          </w:p>
          <w:p w:rsidR="00E26404" w:rsidRPr="00C93291" w:rsidRDefault="00E26404" w:rsidP="006C13FE">
            <w:pPr>
              <w:jc w:val="center"/>
              <w:rPr>
                <w:rFonts w:ascii="Times New Roman CYR" w:hAnsi="Times New Roman CYR"/>
                <w:b/>
                <w:bCs/>
                <w:sz w:val="26"/>
                <w:szCs w:val="26"/>
              </w:rPr>
            </w:pPr>
          </w:p>
          <w:p w:rsidR="00E26404" w:rsidRDefault="00E26404" w:rsidP="006C13F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E26404" w:rsidRPr="00C93291" w:rsidRDefault="00E26404" w:rsidP="006C13F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93291">
              <w:rPr>
                <w:rFonts w:ascii="Times New Roman CYR" w:hAnsi="Times New Roman CYR"/>
                <w:sz w:val="26"/>
                <w:szCs w:val="26"/>
              </w:rPr>
              <w:t xml:space="preserve">от   28 октября  2015 г.  № 14/4  </w:t>
            </w:r>
          </w:p>
          <w:p w:rsidR="00E26404" w:rsidRPr="00C93291" w:rsidRDefault="00E26404" w:rsidP="006C13F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93291">
              <w:rPr>
                <w:rFonts w:ascii="Times New Roman CYR" w:hAnsi="Times New Roman CYR"/>
                <w:sz w:val="26"/>
                <w:szCs w:val="26"/>
              </w:rPr>
              <w:t>г. Новозыбков</w:t>
            </w:r>
          </w:p>
          <w:p w:rsidR="00E26404" w:rsidRPr="00C93291" w:rsidRDefault="00E26404" w:rsidP="006C13FE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26404" w:rsidRPr="00C93291" w:rsidTr="006C13FE">
        <w:trPr>
          <w:gridAfter w:val="1"/>
          <w:wAfter w:w="3131" w:type="pct"/>
        </w:trPr>
        <w:tc>
          <w:tcPr>
            <w:tcW w:w="1869" w:type="pct"/>
            <w:hideMark/>
          </w:tcPr>
          <w:p w:rsidR="00E26404" w:rsidRDefault="00E26404" w:rsidP="006C13FE">
            <w:pPr>
              <w:numPr>
                <w:ilvl w:val="12"/>
                <w:numId w:val="0"/>
              </w:numPr>
              <w:ind w:right="175"/>
              <w:jc w:val="both"/>
              <w:rPr>
                <w:sz w:val="26"/>
                <w:szCs w:val="26"/>
              </w:rPr>
            </w:pPr>
          </w:p>
          <w:p w:rsidR="00E26404" w:rsidRPr="00C93291" w:rsidRDefault="00E26404" w:rsidP="006C13FE">
            <w:pPr>
              <w:numPr>
                <w:ilvl w:val="12"/>
                <w:numId w:val="0"/>
              </w:numPr>
              <w:ind w:right="175"/>
              <w:jc w:val="both"/>
              <w:rPr>
                <w:sz w:val="26"/>
                <w:szCs w:val="26"/>
              </w:rPr>
            </w:pPr>
            <w:r w:rsidRPr="00C93291">
              <w:rPr>
                <w:sz w:val="26"/>
                <w:szCs w:val="26"/>
              </w:rPr>
              <w:t xml:space="preserve">О принятии Новозыбковским районом от сельских поселений района полномочий по распоряжению земельными участками, государственная собственность на которые не разграничена,  расположенными на территории района.  </w:t>
            </w:r>
          </w:p>
        </w:tc>
      </w:tr>
    </w:tbl>
    <w:p w:rsidR="00E26404" w:rsidRPr="00C93291" w:rsidRDefault="00E26404" w:rsidP="00E26404">
      <w:pPr>
        <w:ind w:firstLine="567"/>
        <w:jc w:val="both"/>
        <w:rPr>
          <w:sz w:val="26"/>
          <w:szCs w:val="26"/>
        </w:rPr>
      </w:pPr>
    </w:p>
    <w:p w:rsidR="00E26404" w:rsidRDefault="00E26404" w:rsidP="00E26404">
      <w:pPr>
        <w:ind w:firstLine="567"/>
        <w:jc w:val="both"/>
        <w:rPr>
          <w:sz w:val="26"/>
          <w:szCs w:val="26"/>
        </w:rPr>
      </w:pPr>
    </w:p>
    <w:p w:rsidR="00E26404" w:rsidRPr="00C93291" w:rsidRDefault="00E26404" w:rsidP="00E264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93291">
        <w:rPr>
          <w:sz w:val="26"/>
          <w:szCs w:val="26"/>
        </w:rPr>
        <w:t xml:space="preserve">На основании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Pr="00C93291">
        <w:rPr>
          <w:bCs/>
          <w:sz w:val="26"/>
          <w:szCs w:val="26"/>
        </w:rPr>
        <w:t xml:space="preserve">пункта 4 статьи 15 Федерального закона от 06.10.2003 г.    № 131- ФЗ «Об общих принципах организации местного самоуправления в Российской Федерации», решений: </w:t>
      </w:r>
      <w:proofErr w:type="gramStart"/>
      <w:r w:rsidRPr="00C93291">
        <w:rPr>
          <w:bCs/>
          <w:sz w:val="26"/>
          <w:szCs w:val="26"/>
        </w:rPr>
        <w:t xml:space="preserve">Верещакского сельского Совета народных депутатов от 16.07.15 г. № 11/3, </w:t>
      </w:r>
      <w:proofErr w:type="spellStart"/>
      <w:r w:rsidRPr="00C93291">
        <w:rPr>
          <w:bCs/>
          <w:sz w:val="26"/>
          <w:szCs w:val="26"/>
        </w:rPr>
        <w:t>Деменского</w:t>
      </w:r>
      <w:proofErr w:type="spellEnd"/>
      <w:r w:rsidRPr="00C93291">
        <w:rPr>
          <w:bCs/>
          <w:sz w:val="26"/>
          <w:szCs w:val="26"/>
        </w:rPr>
        <w:t xml:space="preserve"> сельского Совета народных депутатов от 03.07.15 г. № 11/2, </w:t>
      </w:r>
      <w:proofErr w:type="spellStart"/>
      <w:r w:rsidRPr="00C93291">
        <w:rPr>
          <w:bCs/>
          <w:sz w:val="26"/>
          <w:szCs w:val="26"/>
        </w:rPr>
        <w:t>Замишевского</w:t>
      </w:r>
      <w:proofErr w:type="spellEnd"/>
      <w:r w:rsidRPr="00C93291">
        <w:rPr>
          <w:bCs/>
          <w:sz w:val="26"/>
          <w:szCs w:val="26"/>
        </w:rPr>
        <w:t xml:space="preserve"> сельского Совета народных депутатов от 15.07.15 г. № 11/2, </w:t>
      </w:r>
      <w:proofErr w:type="spellStart"/>
      <w:r w:rsidRPr="00C93291">
        <w:rPr>
          <w:bCs/>
          <w:sz w:val="26"/>
          <w:szCs w:val="26"/>
        </w:rPr>
        <w:t>Тростанского</w:t>
      </w:r>
      <w:proofErr w:type="spellEnd"/>
      <w:r w:rsidRPr="00C93291">
        <w:rPr>
          <w:bCs/>
          <w:sz w:val="26"/>
          <w:szCs w:val="26"/>
        </w:rPr>
        <w:t xml:space="preserve"> сельского Совета народных депутатов от 28.07.15 г. № 12/1, </w:t>
      </w:r>
      <w:proofErr w:type="spellStart"/>
      <w:r w:rsidRPr="00C93291">
        <w:rPr>
          <w:bCs/>
          <w:sz w:val="26"/>
          <w:szCs w:val="26"/>
        </w:rPr>
        <w:t>Халеевичского</w:t>
      </w:r>
      <w:proofErr w:type="spellEnd"/>
      <w:r w:rsidRPr="00C93291">
        <w:rPr>
          <w:bCs/>
          <w:sz w:val="26"/>
          <w:szCs w:val="26"/>
        </w:rPr>
        <w:t xml:space="preserve"> сельского Совета народных депутатов от 31.07.15 г. № 16/2, </w:t>
      </w:r>
      <w:proofErr w:type="spellStart"/>
      <w:r w:rsidRPr="00C93291">
        <w:rPr>
          <w:bCs/>
          <w:sz w:val="26"/>
          <w:szCs w:val="26"/>
        </w:rPr>
        <w:t>Шеломовского</w:t>
      </w:r>
      <w:proofErr w:type="spellEnd"/>
      <w:r w:rsidRPr="00C93291">
        <w:rPr>
          <w:bCs/>
          <w:sz w:val="26"/>
          <w:szCs w:val="26"/>
        </w:rPr>
        <w:t xml:space="preserve"> сельского Совета народных депутатов от 21.07.15 г. № 13/2</w:t>
      </w:r>
      <w:proofErr w:type="gramEnd"/>
      <w:r w:rsidRPr="00C93291">
        <w:rPr>
          <w:bCs/>
          <w:sz w:val="26"/>
          <w:szCs w:val="26"/>
        </w:rPr>
        <w:t xml:space="preserve">, Старобобовичского сельского Совета народных депутатов от 17.08.15 г. № 8/1, </w:t>
      </w:r>
      <w:proofErr w:type="spellStart"/>
      <w:r w:rsidRPr="00C93291">
        <w:rPr>
          <w:bCs/>
          <w:sz w:val="26"/>
          <w:szCs w:val="26"/>
        </w:rPr>
        <w:t>Старокривецкого</w:t>
      </w:r>
      <w:proofErr w:type="spellEnd"/>
      <w:r w:rsidRPr="00C93291">
        <w:rPr>
          <w:bCs/>
          <w:sz w:val="26"/>
          <w:szCs w:val="26"/>
        </w:rPr>
        <w:t xml:space="preserve"> сельского Совета народных депутатов от 15.07.15 г. № 12/2, Устава Новозыбковского района Новозыбковский районный </w:t>
      </w:r>
      <w:r w:rsidRPr="00C93291">
        <w:rPr>
          <w:sz w:val="26"/>
          <w:szCs w:val="26"/>
        </w:rPr>
        <w:t xml:space="preserve">Совет народных депутатов </w:t>
      </w:r>
    </w:p>
    <w:p w:rsidR="00E26404" w:rsidRPr="00C93291" w:rsidRDefault="00E26404" w:rsidP="00E26404">
      <w:pPr>
        <w:ind w:firstLine="567"/>
        <w:jc w:val="both"/>
        <w:rPr>
          <w:sz w:val="26"/>
          <w:szCs w:val="26"/>
        </w:rPr>
      </w:pPr>
    </w:p>
    <w:p w:rsidR="00E26404" w:rsidRPr="00C93291" w:rsidRDefault="00E26404" w:rsidP="00E2640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C93291">
        <w:rPr>
          <w:b/>
          <w:sz w:val="26"/>
          <w:szCs w:val="26"/>
        </w:rPr>
        <w:t>РЕШИЛ:</w:t>
      </w:r>
    </w:p>
    <w:p w:rsidR="00E26404" w:rsidRPr="00C93291" w:rsidRDefault="00E26404" w:rsidP="00E26404">
      <w:pPr>
        <w:ind w:firstLine="567"/>
        <w:jc w:val="both"/>
        <w:rPr>
          <w:sz w:val="26"/>
          <w:szCs w:val="26"/>
        </w:rPr>
      </w:pPr>
    </w:p>
    <w:p w:rsidR="00E26404" w:rsidRPr="00C93291" w:rsidRDefault="00E26404" w:rsidP="00E264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93291">
        <w:rPr>
          <w:sz w:val="26"/>
          <w:szCs w:val="26"/>
        </w:rPr>
        <w:t xml:space="preserve">1. Принять с 1 ноября 2015 года от сельских поселений района: Верещакского сельского поселения, </w:t>
      </w:r>
      <w:proofErr w:type="spellStart"/>
      <w:r w:rsidRPr="00C93291">
        <w:rPr>
          <w:sz w:val="26"/>
          <w:szCs w:val="26"/>
        </w:rPr>
        <w:t>Деменского</w:t>
      </w:r>
      <w:proofErr w:type="spellEnd"/>
      <w:r w:rsidRPr="00C93291">
        <w:rPr>
          <w:sz w:val="26"/>
          <w:szCs w:val="26"/>
        </w:rPr>
        <w:t xml:space="preserve"> сельского поселения, </w:t>
      </w:r>
      <w:proofErr w:type="spellStart"/>
      <w:r w:rsidRPr="00C93291">
        <w:rPr>
          <w:sz w:val="26"/>
          <w:szCs w:val="26"/>
        </w:rPr>
        <w:t>Замишевского</w:t>
      </w:r>
      <w:proofErr w:type="spellEnd"/>
      <w:r w:rsidRPr="00C93291">
        <w:rPr>
          <w:sz w:val="26"/>
          <w:szCs w:val="26"/>
        </w:rPr>
        <w:t xml:space="preserve"> сельского поселения, Старобобовичского сельского поселения, </w:t>
      </w:r>
      <w:proofErr w:type="spellStart"/>
      <w:r w:rsidRPr="00C93291">
        <w:rPr>
          <w:sz w:val="26"/>
          <w:szCs w:val="26"/>
        </w:rPr>
        <w:t>Старокривецкого</w:t>
      </w:r>
      <w:proofErr w:type="spellEnd"/>
      <w:r w:rsidRPr="00C93291">
        <w:rPr>
          <w:sz w:val="26"/>
          <w:szCs w:val="26"/>
        </w:rPr>
        <w:t xml:space="preserve"> сельского поселения, </w:t>
      </w:r>
      <w:proofErr w:type="spellStart"/>
      <w:r w:rsidRPr="00C93291">
        <w:rPr>
          <w:sz w:val="26"/>
          <w:szCs w:val="26"/>
        </w:rPr>
        <w:t>Тростанского</w:t>
      </w:r>
      <w:proofErr w:type="spellEnd"/>
      <w:r w:rsidRPr="00C93291">
        <w:rPr>
          <w:sz w:val="26"/>
          <w:szCs w:val="26"/>
        </w:rPr>
        <w:t xml:space="preserve"> сельского поселения, </w:t>
      </w:r>
      <w:proofErr w:type="spellStart"/>
      <w:r w:rsidRPr="00C93291">
        <w:rPr>
          <w:sz w:val="26"/>
          <w:szCs w:val="26"/>
        </w:rPr>
        <w:t>Халеевичского</w:t>
      </w:r>
      <w:proofErr w:type="spellEnd"/>
      <w:r w:rsidRPr="00C93291">
        <w:rPr>
          <w:sz w:val="26"/>
          <w:szCs w:val="26"/>
        </w:rPr>
        <w:t xml:space="preserve"> сельского поселения, </w:t>
      </w:r>
      <w:proofErr w:type="spellStart"/>
      <w:r w:rsidRPr="00C93291">
        <w:rPr>
          <w:sz w:val="26"/>
          <w:szCs w:val="26"/>
        </w:rPr>
        <w:t>Шеломовского</w:t>
      </w:r>
      <w:proofErr w:type="spellEnd"/>
      <w:r w:rsidRPr="00C93291">
        <w:rPr>
          <w:sz w:val="26"/>
          <w:szCs w:val="26"/>
        </w:rPr>
        <w:t xml:space="preserve"> сельского поселения, полномочия по  распоряжению земельными участками, государственная собственность на которые не разграничена, расположенными на территории района.</w:t>
      </w:r>
    </w:p>
    <w:p w:rsidR="00E26404" w:rsidRDefault="00E26404" w:rsidP="00E26404">
      <w:pPr>
        <w:jc w:val="both"/>
        <w:rPr>
          <w:sz w:val="26"/>
          <w:szCs w:val="26"/>
        </w:rPr>
      </w:pPr>
    </w:p>
    <w:p w:rsidR="00E26404" w:rsidRDefault="00E26404" w:rsidP="00E2640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C93291">
        <w:rPr>
          <w:sz w:val="26"/>
          <w:szCs w:val="26"/>
        </w:rPr>
        <w:t xml:space="preserve">2. Утвердить проекты соглашений между Новозыбковским муниципальным районом и сельскими поселениями района: </w:t>
      </w:r>
      <w:proofErr w:type="spellStart"/>
      <w:r w:rsidRPr="00C93291">
        <w:rPr>
          <w:sz w:val="26"/>
          <w:szCs w:val="26"/>
        </w:rPr>
        <w:t>Верещакским</w:t>
      </w:r>
      <w:proofErr w:type="spellEnd"/>
      <w:r w:rsidRPr="00C93291">
        <w:rPr>
          <w:sz w:val="26"/>
          <w:szCs w:val="26"/>
        </w:rPr>
        <w:t xml:space="preserve"> сельским поселением, </w:t>
      </w:r>
      <w:proofErr w:type="spellStart"/>
      <w:r w:rsidRPr="00C93291">
        <w:rPr>
          <w:sz w:val="26"/>
          <w:szCs w:val="26"/>
        </w:rPr>
        <w:t>Деменским</w:t>
      </w:r>
      <w:proofErr w:type="spellEnd"/>
      <w:r w:rsidRPr="00C93291">
        <w:rPr>
          <w:sz w:val="26"/>
          <w:szCs w:val="26"/>
        </w:rPr>
        <w:t xml:space="preserve"> сельским поселением, </w:t>
      </w:r>
      <w:proofErr w:type="spellStart"/>
      <w:r w:rsidRPr="00C93291">
        <w:rPr>
          <w:sz w:val="26"/>
          <w:szCs w:val="26"/>
        </w:rPr>
        <w:t>Замишевским</w:t>
      </w:r>
      <w:proofErr w:type="spellEnd"/>
      <w:r w:rsidRPr="00C93291">
        <w:rPr>
          <w:sz w:val="26"/>
          <w:szCs w:val="26"/>
        </w:rPr>
        <w:t xml:space="preserve"> сельским поселением, </w:t>
      </w:r>
      <w:proofErr w:type="spellStart"/>
      <w:r w:rsidRPr="00C93291">
        <w:rPr>
          <w:sz w:val="26"/>
          <w:szCs w:val="26"/>
        </w:rPr>
        <w:t>Старобобовичским</w:t>
      </w:r>
      <w:proofErr w:type="spellEnd"/>
      <w:r w:rsidRPr="00C93291">
        <w:rPr>
          <w:sz w:val="26"/>
          <w:szCs w:val="26"/>
        </w:rPr>
        <w:t xml:space="preserve"> сельским поселением, </w:t>
      </w:r>
      <w:proofErr w:type="spellStart"/>
      <w:r w:rsidRPr="00C93291">
        <w:rPr>
          <w:sz w:val="26"/>
          <w:szCs w:val="26"/>
        </w:rPr>
        <w:t>Старокривецким</w:t>
      </w:r>
      <w:proofErr w:type="spellEnd"/>
      <w:r w:rsidRPr="00C93291">
        <w:rPr>
          <w:sz w:val="26"/>
          <w:szCs w:val="26"/>
        </w:rPr>
        <w:t xml:space="preserve"> сельским поселением, </w:t>
      </w:r>
      <w:proofErr w:type="spellStart"/>
      <w:r w:rsidRPr="00C93291">
        <w:rPr>
          <w:sz w:val="26"/>
          <w:szCs w:val="26"/>
        </w:rPr>
        <w:t>Тростанским</w:t>
      </w:r>
      <w:proofErr w:type="spellEnd"/>
      <w:r w:rsidRPr="00C93291">
        <w:rPr>
          <w:sz w:val="26"/>
          <w:szCs w:val="26"/>
        </w:rPr>
        <w:t xml:space="preserve"> сельским поселением, </w:t>
      </w:r>
      <w:proofErr w:type="spellStart"/>
      <w:r w:rsidRPr="00C93291">
        <w:rPr>
          <w:sz w:val="26"/>
          <w:szCs w:val="26"/>
        </w:rPr>
        <w:t>Халеевичским</w:t>
      </w:r>
      <w:proofErr w:type="spellEnd"/>
      <w:r w:rsidRPr="00C93291">
        <w:rPr>
          <w:sz w:val="26"/>
          <w:szCs w:val="26"/>
        </w:rPr>
        <w:t xml:space="preserve"> сельским поселением, </w:t>
      </w:r>
      <w:proofErr w:type="spellStart"/>
      <w:r w:rsidRPr="00C93291">
        <w:rPr>
          <w:sz w:val="26"/>
          <w:szCs w:val="26"/>
        </w:rPr>
        <w:t>Шеломовским</w:t>
      </w:r>
      <w:proofErr w:type="spellEnd"/>
      <w:r w:rsidRPr="00C93291">
        <w:rPr>
          <w:sz w:val="26"/>
          <w:szCs w:val="26"/>
        </w:rPr>
        <w:t xml:space="preserve"> сельским поселением, о передаче полномочий в области распоряжения земельными участками, государственная собственность на которые не разграничена, расположенными на территории района, согласно приложениям 1 </w:t>
      </w:r>
      <w:r w:rsidRPr="00C93291">
        <w:rPr>
          <w:rFonts w:eastAsia="MS Mincho"/>
          <w:sz w:val="26"/>
          <w:szCs w:val="26"/>
        </w:rPr>
        <w:t>–</w:t>
      </w:r>
      <w:r w:rsidRPr="00C93291">
        <w:rPr>
          <w:sz w:val="26"/>
          <w:szCs w:val="26"/>
        </w:rPr>
        <w:t xml:space="preserve"> 8.</w:t>
      </w:r>
    </w:p>
    <w:p w:rsidR="00E26404" w:rsidRDefault="00E26404" w:rsidP="00E264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26404" w:rsidRPr="00C93291" w:rsidRDefault="00E26404" w:rsidP="00E264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93291">
        <w:rPr>
          <w:sz w:val="26"/>
          <w:szCs w:val="26"/>
        </w:rPr>
        <w:t>3. Настоящее решение опубликовать и  разместить на официальном сайте   Новозыбковского района  в  сети  «Интернет».</w:t>
      </w:r>
    </w:p>
    <w:p w:rsidR="00E26404" w:rsidRPr="00C93291" w:rsidRDefault="00E26404" w:rsidP="00E26404">
      <w:pPr>
        <w:ind w:firstLine="567"/>
        <w:jc w:val="both"/>
        <w:rPr>
          <w:sz w:val="26"/>
          <w:szCs w:val="26"/>
        </w:rPr>
      </w:pPr>
    </w:p>
    <w:p w:rsidR="00E26404" w:rsidRDefault="00E26404" w:rsidP="00E26404">
      <w:pPr>
        <w:jc w:val="both"/>
        <w:rPr>
          <w:sz w:val="26"/>
          <w:szCs w:val="26"/>
        </w:rPr>
      </w:pPr>
    </w:p>
    <w:p w:rsidR="00E26404" w:rsidRDefault="00E26404" w:rsidP="00E26404">
      <w:pPr>
        <w:jc w:val="both"/>
        <w:rPr>
          <w:sz w:val="26"/>
          <w:szCs w:val="26"/>
        </w:rPr>
      </w:pPr>
    </w:p>
    <w:p w:rsidR="00E26404" w:rsidRDefault="00E26404" w:rsidP="00E26404">
      <w:pPr>
        <w:jc w:val="both"/>
        <w:rPr>
          <w:sz w:val="26"/>
          <w:szCs w:val="26"/>
        </w:rPr>
      </w:pPr>
    </w:p>
    <w:p w:rsidR="00E26404" w:rsidRDefault="00E26404" w:rsidP="00E26404">
      <w:pPr>
        <w:jc w:val="both"/>
        <w:rPr>
          <w:sz w:val="26"/>
          <w:szCs w:val="26"/>
        </w:rPr>
      </w:pPr>
    </w:p>
    <w:p w:rsidR="00E26404" w:rsidRDefault="00E26404" w:rsidP="00E26404">
      <w:pPr>
        <w:jc w:val="both"/>
        <w:rPr>
          <w:sz w:val="26"/>
          <w:szCs w:val="26"/>
        </w:rPr>
      </w:pPr>
    </w:p>
    <w:p w:rsidR="00E26404" w:rsidRDefault="00E26404" w:rsidP="00E26404">
      <w:pPr>
        <w:jc w:val="both"/>
        <w:rPr>
          <w:sz w:val="26"/>
          <w:szCs w:val="26"/>
        </w:rPr>
      </w:pPr>
    </w:p>
    <w:p w:rsidR="00E26404" w:rsidRPr="00C93291" w:rsidRDefault="00E26404" w:rsidP="00E26404">
      <w:pPr>
        <w:jc w:val="both"/>
        <w:rPr>
          <w:sz w:val="26"/>
          <w:szCs w:val="26"/>
        </w:rPr>
      </w:pPr>
      <w:r w:rsidRPr="00C93291">
        <w:rPr>
          <w:sz w:val="26"/>
          <w:szCs w:val="26"/>
        </w:rPr>
        <w:t xml:space="preserve">Глава района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C93291">
        <w:rPr>
          <w:sz w:val="26"/>
          <w:szCs w:val="26"/>
        </w:rPr>
        <w:t xml:space="preserve"> В.И. Киреева</w:t>
      </w:r>
    </w:p>
    <w:p w:rsidR="00E26404" w:rsidRPr="00C93291" w:rsidRDefault="00E26404" w:rsidP="00E26404">
      <w:pPr>
        <w:ind w:firstLine="567"/>
        <w:jc w:val="both"/>
        <w:rPr>
          <w:sz w:val="26"/>
          <w:szCs w:val="26"/>
        </w:rPr>
      </w:pPr>
    </w:p>
    <w:p w:rsidR="005B02C8" w:rsidRDefault="005B02C8"/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04"/>
    <w:rsid w:val="003B33D7"/>
    <w:rsid w:val="00483509"/>
    <w:rsid w:val="005B02C8"/>
    <w:rsid w:val="00B712F5"/>
    <w:rsid w:val="00D30EA5"/>
    <w:rsid w:val="00E2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04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26404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E26404"/>
    <w:pPr>
      <w:shd w:val="clear" w:color="auto" w:fill="FFFFFF"/>
      <w:spacing w:after="60" w:line="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26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>Home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2015-10-29T07:11:00Z</dcterms:created>
  <dcterms:modified xsi:type="dcterms:W3CDTF">2015-10-29T07:12:00Z</dcterms:modified>
</cp:coreProperties>
</file>